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BDA22" w14:textId="77777777" w:rsidR="00455D0D" w:rsidRPr="007F4CC8" w:rsidRDefault="00455D0D" w:rsidP="00455D0D">
      <w:pPr>
        <w:pStyle w:val="Annexetitre"/>
        <w:rPr>
          <w:b w:val="0"/>
        </w:rPr>
      </w:pPr>
      <w:r>
        <w:t>ANNEXE X – Instructions pour la publication d’informations sur les coussins de fonds propres contracycliques</w:t>
      </w:r>
    </w:p>
    <w:p w14:paraId="01BBFD15"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23E8C0FC" w14:textId="1BC1B856" w:rsidR="00455D0D" w:rsidRPr="007F4CC8" w:rsidRDefault="00455D0D" w:rsidP="00455D0D">
      <w:pPr>
        <w:autoSpaceDE w:val="0"/>
        <w:autoSpaceDN w:val="0"/>
        <w:adjustRightInd w:val="0"/>
        <w:jc w:val="both"/>
        <w:rPr>
          <w:rFonts w:ascii="Times New Roman" w:hAnsi="Times New Roman" w:cs="Times New Roman"/>
          <w:sz w:val="24"/>
        </w:rPr>
      </w:pPr>
      <w:r>
        <w:rPr>
          <w:rFonts w:ascii="Times New Roman" w:hAnsi="Times New Roman"/>
          <w:b/>
          <w:sz w:val="24"/>
        </w:rPr>
        <w:t xml:space="preserve">Modèle EU CCyB1 </w:t>
      </w:r>
      <w:r w:rsidR="002D310D">
        <w:rPr>
          <w:rFonts w:ascii="Times New Roman" w:hAnsi="Times New Roman"/>
          <w:b/>
          <w:sz w:val="24"/>
        </w:rPr>
        <w:t>—</w:t>
      </w:r>
      <w:r>
        <w:rPr>
          <w:rFonts w:ascii="Times New Roman" w:hAnsi="Times New Roman"/>
          <w:b/>
          <w:sz w:val="24"/>
        </w:rPr>
        <w:t xml:space="preserve"> Répartition géographique des expositions de crédit pertinentes pour le calcul du coussin contracyclique </w:t>
      </w:r>
      <w:r>
        <w:rPr>
          <w:rFonts w:ascii="Times New Roman" w:hAnsi="Times New Roman"/>
          <w:sz w:val="24"/>
        </w:rPr>
        <w:t xml:space="preserve">Format fixe pour les colonnes, format flexible pour les lignes. </w:t>
      </w:r>
    </w:p>
    <w:p w14:paraId="3340396C" w14:textId="77777777" w:rsidR="00455D0D" w:rsidRPr="007F4CC8" w:rsidRDefault="00455D0D" w:rsidP="00455D0D">
      <w:pPr>
        <w:autoSpaceDE w:val="0"/>
        <w:autoSpaceDN w:val="0"/>
        <w:adjustRightInd w:val="0"/>
        <w:jc w:val="both"/>
        <w:rPr>
          <w:rFonts w:ascii="Times New Roman" w:hAnsi="Times New Roman" w:cs="Times New Roman"/>
          <w:b/>
          <w:sz w:val="24"/>
        </w:rPr>
      </w:pPr>
    </w:p>
    <w:p w14:paraId="41E7C5B7" w14:textId="5C43FC7E"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Les établissements publient les informations visées à l’article 440, point a), du règlement (UE) nº 575/2013</w:t>
      </w:r>
      <w:r w:rsidRPr="007F4CC8">
        <w:rPr>
          <w:rStyle w:val="FootnoteReference"/>
        </w:rPr>
        <w:footnoteReference w:id="1"/>
      </w:r>
      <w:r>
        <w:rPr>
          <w:rFonts w:ascii="Times New Roman" w:hAnsi="Times New Roman"/>
          <w:sz w:val="24"/>
        </w:rPr>
        <w:t xml:space="preserve"> </w:t>
      </w:r>
      <w:proofErr w:type="gramStart"/>
      <w:r>
        <w:rPr>
          <w:rFonts w:ascii="Times New Roman" w:hAnsi="Times New Roman"/>
          <w:sz w:val="24"/>
        </w:rPr>
        <w:t>(«CRR</w:t>
      </w:r>
      <w:proofErr w:type="gramEnd"/>
      <w:r>
        <w:rPr>
          <w:rFonts w:ascii="Times New Roman" w:hAnsi="Times New Roman"/>
          <w:sz w:val="24"/>
        </w:rPr>
        <w:t>»), suivant les instructions fournies ci-dessous dans la présente annexe pour compléter le modèle EU CCyB1 présenté à l’annexe IX des solutions informatiques de l</w:t>
      </w:r>
      <w:r w:rsidR="002D310D">
        <w:rPr>
          <w:rFonts w:ascii="Times New Roman" w:hAnsi="Times New Roman"/>
          <w:sz w:val="24"/>
        </w:rPr>
        <w:t>’</w:t>
      </w:r>
      <w:r>
        <w:rPr>
          <w:rFonts w:ascii="Times New Roman" w:hAnsi="Times New Roman"/>
          <w:sz w:val="24"/>
        </w:rPr>
        <w:t xml:space="preserve">ABE. </w:t>
      </w:r>
    </w:p>
    <w:p w14:paraId="7398E361" w14:textId="77777777" w:rsidR="00455D0D" w:rsidRPr="00266A53" w:rsidRDefault="00455D0D" w:rsidP="00455D0D">
      <w:pPr>
        <w:pStyle w:val="ListParagraph"/>
        <w:numPr>
          <w:ilvl w:val="0"/>
          <w:numId w:val="2"/>
        </w:numPr>
        <w:spacing w:before="120" w:after="120"/>
        <w:ind w:left="360" w:hanging="357"/>
        <w:contextualSpacing/>
        <w:jc w:val="both"/>
        <w:rPr>
          <w:rFonts w:ascii="Times New Roman" w:hAnsi="Times New Roman"/>
          <w:sz w:val="24"/>
          <w:szCs w:val="24"/>
        </w:rPr>
      </w:pPr>
      <w:r>
        <w:rPr>
          <w:rFonts w:ascii="Times New Roman" w:hAnsi="Times New Roman"/>
          <w:sz w:val="24"/>
        </w:rPr>
        <w:t>Le champ d’application du modèle EU CCyB1 est limité aux expositions de crédit pertinentes pour calculer le coussin contracyclique (</w:t>
      </w:r>
      <w:proofErr w:type="spellStart"/>
      <w:r>
        <w:rPr>
          <w:rFonts w:ascii="Times New Roman" w:hAnsi="Times New Roman"/>
          <w:sz w:val="24"/>
        </w:rPr>
        <w:t>countercyclical</w:t>
      </w:r>
      <w:proofErr w:type="spellEnd"/>
      <w:r>
        <w:rPr>
          <w:rFonts w:ascii="Times New Roman" w:hAnsi="Times New Roman"/>
          <w:sz w:val="24"/>
        </w:rPr>
        <w:t xml:space="preserve"> buffer ou </w:t>
      </w:r>
      <w:proofErr w:type="spellStart"/>
      <w:r>
        <w:rPr>
          <w:rFonts w:ascii="Times New Roman" w:hAnsi="Times New Roman"/>
          <w:sz w:val="24"/>
        </w:rPr>
        <w:t>CCyB</w:t>
      </w:r>
      <w:proofErr w:type="spellEnd"/>
      <w:r>
        <w:rPr>
          <w:rFonts w:ascii="Times New Roman" w:hAnsi="Times New Roman"/>
          <w:sz w:val="24"/>
        </w:rPr>
        <w:t>) conformément à l’article 140, paragraphe 4, de la directive 2013/36/UE</w:t>
      </w:r>
      <w:r w:rsidRPr="007F4CC8">
        <w:rPr>
          <w:rStyle w:val="FootnoteReference"/>
          <w:rFonts w:eastAsia="Times New Roman"/>
        </w:rPr>
        <w:footnoteReference w:id="2"/>
      </w:r>
      <w:r>
        <w:rPr>
          <w:rFonts w:ascii="Times New Roman" w:hAnsi="Times New Roman"/>
          <w:sz w:val="24"/>
        </w:rPr>
        <w:t xml:space="preserve"> </w:t>
      </w:r>
      <w:proofErr w:type="gramStart"/>
      <w:r>
        <w:rPr>
          <w:rFonts w:ascii="Times New Roman" w:hAnsi="Times New Roman"/>
          <w:sz w:val="24"/>
        </w:rPr>
        <w:t>(«CRD</w:t>
      </w:r>
      <w:proofErr w:type="gramEnd"/>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A43BEBB"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801A4" w14:textId="77777777" w:rsidR="00455D0D" w:rsidRPr="007F4CC8" w:rsidRDefault="00455D0D" w:rsidP="00D819DE">
            <w:pPr>
              <w:rPr>
                <w:rFonts w:ascii="Times New Roman" w:hAnsi="Times New Roman" w:cs="Times New Roman"/>
                <w:b/>
                <w:sz w:val="24"/>
              </w:rPr>
            </w:pPr>
            <w:r>
              <w:rPr>
                <w:rFonts w:ascii="Times New Roman" w:hAnsi="Times New Roman"/>
                <w:b/>
                <w:sz w:val="24"/>
              </w:rPr>
              <w:t>Références juridiques et instructions</w:t>
            </w:r>
          </w:p>
        </w:tc>
      </w:tr>
      <w:tr w:rsidR="00455D0D" w:rsidRPr="007F4CC8" w14:paraId="5753E80F" w14:textId="77777777" w:rsidTr="00D819DE">
        <w:trPr>
          <w:trHeight w:val="238"/>
        </w:trPr>
        <w:tc>
          <w:tcPr>
            <w:tcW w:w="1384" w:type="dxa"/>
            <w:shd w:val="clear" w:color="auto" w:fill="D9D9D9" w:themeFill="background1" w:themeFillShade="D9"/>
          </w:tcPr>
          <w:p w14:paraId="63F8D0B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5B6BF2F1" w14:textId="77777777"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Explication</w:t>
            </w:r>
          </w:p>
        </w:tc>
      </w:tr>
      <w:tr w:rsidR="00455D0D" w:rsidRPr="007F4CC8" w14:paraId="6D5018C1" w14:textId="77777777" w:rsidTr="00D819DE">
        <w:trPr>
          <w:trHeight w:val="4381"/>
        </w:trPr>
        <w:tc>
          <w:tcPr>
            <w:tcW w:w="1384" w:type="dxa"/>
          </w:tcPr>
          <w:p w14:paraId="48FA5F7D" w14:textId="77777777" w:rsidR="00455D0D" w:rsidRPr="007F4CC8" w:rsidRDefault="00455D0D" w:rsidP="00D819DE">
            <w:pPr>
              <w:pStyle w:val="Applicationdirecte"/>
              <w:spacing w:before="120"/>
            </w:pPr>
            <w:r>
              <w:t>010-01X</w:t>
            </w:r>
          </w:p>
        </w:tc>
        <w:tc>
          <w:tcPr>
            <w:tcW w:w="7655" w:type="dxa"/>
          </w:tcPr>
          <w:p w14:paraId="482E28A9" w14:textId="77777777" w:rsidR="00455D0D" w:rsidRPr="007F4CC8" w:rsidRDefault="00455D0D" w:rsidP="00D819DE">
            <w:pPr>
              <w:pStyle w:val="Applicationdirecte"/>
              <w:spacing w:before="120"/>
              <w:rPr>
                <w:b/>
              </w:rPr>
            </w:pPr>
            <w:r>
              <w:rPr>
                <w:b/>
              </w:rPr>
              <w:t>Ventilation par pays</w:t>
            </w:r>
          </w:p>
          <w:p w14:paraId="2DDAA49A" w14:textId="77777777" w:rsidR="00455D0D" w:rsidRPr="007F4CC8" w:rsidRDefault="00455D0D" w:rsidP="00D819DE">
            <w:pPr>
              <w:pStyle w:val="Applicationdirecte"/>
              <w:spacing w:before="120"/>
            </w:pPr>
            <w:r>
              <w:t>Liste des pays dans lesquels l’établissement détient des expositions de crédit pertinentes pour le calcul du coussin contracyclique spécifique de l’établissement, au sens du règlement délégué (UE) nº 1152/2014 de la Commission</w:t>
            </w:r>
            <w:r w:rsidRPr="007F4CC8">
              <w:rPr>
                <w:rStyle w:val="FootnoteReference"/>
              </w:rPr>
              <w:footnoteReference w:id="3"/>
            </w:r>
          </w:p>
          <w:p w14:paraId="37E96D2E" w14:textId="77777777" w:rsidR="00455D0D" w:rsidRPr="007F4CC8" w:rsidRDefault="00455D0D" w:rsidP="00D819DE">
            <w:pPr>
              <w:pStyle w:val="Fait"/>
              <w:spacing w:after="120"/>
            </w:pPr>
            <w:r>
              <w:t>Le nombre de lignes peut varier en fonction du nombre de pays dans lesquels l’établissement détient des expositions de crédit pertinentes pour le calcul du coussin contracyclique. Les établissements numérotent les lignes pour chaque pays consécutivement, en commençant par 010.</w:t>
            </w:r>
          </w:p>
          <w:p w14:paraId="110E5142" w14:textId="55F074A2" w:rsidR="00455D0D" w:rsidRPr="007F4CC8" w:rsidRDefault="00455D0D" w:rsidP="00D819DE">
            <w:pPr>
              <w:spacing w:after="120"/>
              <w:jc w:val="both"/>
              <w:rPr>
                <w:rFonts w:ascii="Times New Roman" w:hAnsi="Times New Roman" w:cs="Times New Roman"/>
                <w:sz w:val="24"/>
              </w:rPr>
            </w:pPr>
            <w:r>
              <w:rPr>
                <w:rFonts w:ascii="Times New Roman" w:hAnsi="Times New Roman"/>
                <w:sz w:val="24"/>
              </w:rPr>
              <w:t>Conformément au règlement délégué (UE) n° 1152/2014 de la Commission, si les expositions du portefeuille de négociation ou les expositions de crédit étrangères d’un établissement représentent moins de 2 % de ses expositions pondérées agrégées, l’établissement peut choisir de rattacher ces expositions au lieu où il a été constitué (c’est-à-dire à son État membre d</w:t>
            </w:r>
            <w:r w:rsidR="002D310D">
              <w:rPr>
                <w:rFonts w:ascii="Times New Roman" w:hAnsi="Times New Roman"/>
                <w:sz w:val="24"/>
              </w:rPr>
              <w:t>’</w:t>
            </w:r>
            <w:r>
              <w:rPr>
                <w:rFonts w:ascii="Times New Roman" w:hAnsi="Times New Roman"/>
                <w:sz w:val="24"/>
              </w:rPr>
              <w:t>origine). Si les expositions du lieu de constitution de l’établissement comprennent des expositions d’autres pays, celles-ci sont clairement indiquées dans une note de bas de page ajoutée au modèle.</w:t>
            </w:r>
          </w:p>
        </w:tc>
      </w:tr>
      <w:tr w:rsidR="00455D0D" w:rsidRPr="007F4CC8" w14:paraId="2B7D044A" w14:textId="77777777" w:rsidTr="00D819DE">
        <w:trPr>
          <w:trHeight w:val="316"/>
        </w:trPr>
        <w:tc>
          <w:tcPr>
            <w:tcW w:w="1384" w:type="dxa"/>
          </w:tcPr>
          <w:p w14:paraId="34D2A4C4" w14:textId="77777777" w:rsidR="00455D0D" w:rsidRPr="007F4CC8" w:rsidRDefault="00455D0D" w:rsidP="00D819DE">
            <w:pPr>
              <w:autoSpaceDE w:val="0"/>
              <w:autoSpaceDN w:val="0"/>
              <w:adjustRightInd w:val="0"/>
              <w:rPr>
                <w:rFonts w:ascii="Times New Roman" w:hAnsi="Times New Roman" w:cs="Times New Roman"/>
                <w:color w:val="000000"/>
                <w:sz w:val="24"/>
              </w:rPr>
            </w:pPr>
            <w:r>
              <w:rPr>
                <w:rFonts w:ascii="Times New Roman" w:hAnsi="Times New Roman"/>
                <w:sz w:val="24"/>
              </w:rPr>
              <w:t>020</w:t>
            </w:r>
          </w:p>
        </w:tc>
        <w:tc>
          <w:tcPr>
            <w:tcW w:w="7655" w:type="dxa"/>
          </w:tcPr>
          <w:p w14:paraId="1007C866"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 xml:space="preserve">Total </w:t>
            </w:r>
          </w:p>
          <w:p w14:paraId="159FB8B0" w14:textId="77777777" w:rsidR="00455D0D" w:rsidRPr="007F4CC8" w:rsidRDefault="00455D0D" w:rsidP="00D819DE">
            <w:pPr>
              <w:autoSpaceDE w:val="0"/>
              <w:autoSpaceDN w:val="0"/>
              <w:adjustRightInd w:val="0"/>
              <w:spacing w:before="120" w:after="120"/>
              <w:rPr>
                <w:rFonts w:ascii="Times New Roman" w:eastAsia="Times New Roman" w:hAnsi="Times New Roman" w:cs="Times New Roman"/>
                <w:sz w:val="24"/>
              </w:rPr>
            </w:pPr>
            <w:r>
              <w:rPr>
                <w:rFonts w:ascii="Times New Roman" w:hAnsi="Times New Roman"/>
                <w:sz w:val="24"/>
              </w:rPr>
              <w:lastRenderedPageBreak/>
              <w:t>La valeur obtenue conformément aux explications fournies pour les colonnes a) à m) du modèle.</w:t>
            </w:r>
          </w:p>
        </w:tc>
      </w:tr>
    </w:tbl>
    <w:p w14:paraId="761A683E" w14:textId="77777777" w:rsidR="00455D0D" w:rsidRPr="007F4CC8" w:rsidRDefault="00455D0D" w:rsidP="00455D0D">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0EDEA811" w14:textId="77777777" w:rsidTr="00D819DE">
        <w:trPr>
          <w:trHeight w:val="238"/>
        </w:trPr>
        <w:tc>
          <w:tcPr>
            <w:tcW w:w="9039" w:type="dxa"/>
            <w:gridSpan w:val="2"/>
            <w:shd w:val="clear" w:color="auto" w:fill="D9D9D9" w:themeFill="background1" w:themeFillShade="D9"/>
          </w:tcPr>
          <w:p w14:paraId="6E1DF8CC"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Références juridiques et instructions</w:t>
            </w:r>
          </w:p>
        </w:tc>
      </w:tr>
      <w:tr w:rsidR="00455D0D" w:rsidRPr="007F4CC8" w14:paraId="40DA12F8" w14:textId="77777777" w:rsidTr="00D819DE">
        <w:trPr>
          <w:trHeight w:val="238"/>
        </w:trPr>
        <w:tc>
          <w:tcPr>
            <w:tcW w:w="1384" w:type="dxa"/>
            <w:shd w:val="clear" w:color="auto" w:fill="D9D9D9" w:themeFill="background1" w:themeFillShade="D9"/>
          </w:tcPr>
          <w:p w14:paraId="0EE254B1"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1BD7CCD7" w14:textId="77777777" w:rsidR="00455D0D" w:rsidRPr="007F4CC8" w:rsidRDefault="00455D0D" w:rsidP="00D819DE">
            <w:pPr>
              <w:autoSpaceDE w:val="0"/>
              <w:autoSpaceDN w:val="0"/>
              <w:adjustRightInd w:val="0"/>
              <w:rPr>
                <w:rFonts w:ascii="Times New Roman" w:hAnsi="Times New Roman" w:cs="Times New Roman"/>
                <w:b/>
                <w:sz w:val="24"/>
              </w:rPr>
            </w:pPr>
            <w:r>
              <w:rPr>
                <w:rFonts w:ascii="Times New Roman" w:hAnsi="Times New Roman"/>
                <w:b/>
                <w:sz w:val="24"/>
              </w:rPr>
              <w:t>Explication</w:t>
            </w:r>
          </w:p>
        </w:tc>
      </w:tr>
      <w:tr w:rsidR="00455D0D" w:rsidRPr="007F4CC8" w14:paraId="2CFE33C2" w14:textId="77777777" w:rsidTr="00D819DE">
        <w:trPr>
          <w:trHeight w:val="841"/>
        </w:trPr>
        <w:tc>
          <w:tcPr>
            <w:tcW w:w="1384" w:type="dxa"/>
          </w:tcPr>
          <w:p w14:paraId="09169D26" w14:textId="77777777" w:rsidR="00455D0D" w:rsidRPr="007F4CC8" w:rsidRDefault="00455D0D" w:rsidP="00D819DE">
            <w:pPr>
              <w:pStyle w:val="Applicationdirecte"/>
              <w:spacing w:before="120"/>
            </w:pPr>
            <w:r>
              <w:t>a</w:t>
            </w:r>
          </w:p>
        </w:tc>
        <w:tc>
          <w:tcPr>
            <w:tcW w:w="7655" w:type="dxa"/>
          </w:tcPr>
          <w:p w14:paraId="4397613E" w14:textId="052C537A" w:rsidR="00455D0D" w:rsidRPr="007F4CC8" w:rsidRDefault="00455D0D" w:rsidP="00D819DE">
            <w:pPr>
              <w:autoSpaceDE w:val="0"/>
              <w:autoSpaceDN w:val="0"/>
              <w:adjustRightInd w:val="0"/>
              <w:spacing w:before="120" w:after="120"/>
              <w:rPr>
                <w:rFonts w:ascii="Times New Roman" w:hAnsi="Times New Roman" w:cs="Times New Roman"/>
                <w:sz w:val="24"/>
              </w:rPr>
            </w:pPr>
            <w:r>
              <w:rPr>
                <w:rFonts w:ascii="Times New Roman" w:hAnsi="Times New Roman"/>
                <w:b/>
                <w:sz w:val="24"/>
              </w:rPr>
              <w:t>Valeur exposée au risque des expositions générales de crédit selon l</w:t>
            </w:r>
            <w:r w:rsidR="002D310D">
              <w:rPr>
                <w:rFonts w:ascii="Times New Roman" w:hAnsi="Times New Roman"/>
                <w:b/>
                <w:sz w:val="24"/>
              </w:rPr>
              <w:t>’</w:t>
            </w:r>
            <w:r>
              <w:rPr>
                <w:rFonts w:ascii="Times New Roman" w:hAnsi="Times New Roman"/>
                <w:b/>
                <w:sz w:val="24"/>
              </w:rPr>
              <w:t>approche standard</w:t>
            </w:r>
          </w:p>
          <w:p w14:paraId="217A6855" w14:textId="77777777" w:rsidR="00455D0D" w:rsidRPr="007F4CC8" w:rsidRDefault="00455D0D" w:rsidP="00D819DE">
            <w:pPr>
              <w:pStyle w:val="Fait"/>
              <w:spacing w:after="120"/>
            </w:pPr>
            <w:r>
              <w:t>Valeur exposée au risque des expositions de crédit pertinentes, déterminée conformément à l’article 140, paragraphe 4, point a), de la CRD et à l’article 111 du CRR</w:t>
            </w:r>
          </w:p>
          <w:p w14:paraId="7001526D" w14:textId="77777777" w:rsidR="00455D0D" w:rsidRPr="007F4CC8" w:rsidRDefault="00455D0D" w:rsidP="00D819DE">
            <w:pPr>
              <w:pStyle w:val="Fait"/>
              <w:spacing w:after="120"/>
            </w:pPr>
            <w:r>
              <w:t>La valeur exposée au risque des expositions de crédit pertinentes déterminée conformément à l’article 140, paragraphe 4, point c), de la CRD et à l’article 248, points a) à c), du CRR, ne doit pas être indiquée ici, mais dans la colonne e du présent modèle.</w:t>
            </w:r>
          </w:p>
          <w:p w14:paraId="7DC41FB9" w14:textId="77777777" w:rsidR="00455D0D" w:rsidRPr="007F4CC8" w:rsidRDefault="00455D0D" w:rsidP="00D819DE">
            <w:pPr>
              <w:pStyle w:val="Fait"/>
              <w:spacing w:after="120"/>
            </w:pPr>
            <w:r>
              <w:t xml:space="preserve">La ventilation géographique est effectuée conformément au règlement délégué (UE) n° 1152/2014 de la Commission. </w:t>
            </w:r>
          </w:p>
          <w:p w14:paraId="6801ED6C" w14:textId="77777777" w:rsidR="00455D0D" w:rsidRPr="007F4CC8" w:rsidRDefault="00455D0D" w:rsidP="00D819DE">
            <w:pPr>
              <w:pStyle w:val="Fait"/>
              <w:spacing w:after="120"/>
            </w:pPr>
            <w:r>
              <w:t>Ligne 020 (Total</w:t>
            </w:r>
            <w:proofErr w:type="gramStart"/>
            <w:r>
              <w:t>):</w:t>
            </w:r>
            <w:proofErr w:type="gramEnd"/>
            <w:r>
              <w:t xml:space="preserve"> La somme de toutes les expositions de crédit pertinentes est déterminée conformément à l’article 140, paragraphe 4, point a), de la CRD et à l’article 111 du CRR.</w:t>
            </w:r>
          </w:p>
        </w:tc>
      </w:tr>
      <w:tr w:rsidR="00455D0D" w:rsidRPr="007F4CC8" w14:paraId="3E403FD1" w14:textId="77777777" w:rsidTr="00D819DE">
        <w:trPr>
          <w:trHeight w:val="841"/>
        </w:trPr>
        <w:tc>
          <w:tcPr>
            <w:tcW w:w="1384" w:type="dxa"/>
          </w:tcPr>
          <w:p w14:paraId="2F14660E" w14:textId="77777777" w:rsidR="00455D0D" w:rsidRPr="007F4CC8" w:rsidRDefault="00455D0D" w:rsidP="00D819DE">
            <w:pPr>
              <w:pStyle w:val="Applicationdirecte"/>
              <w:spacing w:before="120"/>
            </w:pPr>
            <w:r>
              <w:t>b</w:t>
            </w:r>
          </w:p>
        </w:tc>
        <w:tc>
          <w:tcPr>
            <w:tcW w:w="7655" w:type="dxa"/>
          </w:tcPr>
          <w:p w14:paraId="3C9BF2FD" w14:textId="4604AF4C"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Valeur exposée au risque des expositions générales de crédit selon l</w:t>
            </w:r>
            <w:r w:rsidR="002D310D">
              <w:rPr>
                <w:rFonts w:ascii="Times New Roman" w:hAnsi="Times New Roman"/>
                <w:b/>
                <w:sz w:val="24"/>
              </w:rPr>
              <w:t>’</w:t>
            </w:r>
            <w:r>
              <w:rPr>
                <w:rFonts w:ascii="Times New Roman" w:hAnsi="Times New Roman"/>
                <w:b/>
                <w:sz w:val="24"/>
              </w:rPr>
              <w:t>approche NI</w:t>
            </w:r>
          </w:p>
          <w:p w14:paraId="45C5ADD3"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Valeur exposée au risque des expositions de crédit pertinentes, déterminée conformément à l’article 140, paragraphe 4, point a), de la CRD, et aux articles 166, 167 et 168 du CRR.</w:t>
            </w:r>
          </w:p>
          <w:p w14:paraId="4BAA504B" w14:textId="77777777" w:rsidR="00455D0D" w:rsidRPr="007F4CC8" w:rsidRDefault="00455D0D" w:rsidP="00D819DE">
            <w:pPr>
              <w:pStyle w:val="Fait"/>
              <w:spacing w:after="120"/>
            </w:pPr>
            <w:r>
              <w:t>La valeur exposée au risque des expositions de crédit pertinentes déterminée conformément à l’article 140, paragraphe 4, point c), de la CRD, et à l’article 248, points a) à c), du CRR ne doit pas être indiquée ici, mais dans la colonne e) du présent modèle.</w:t>
            </w:r>
          </w:p>
          <w:p w14:paraId="5FD7228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La ventilation géographique est effectuée conformément au règlement délégué (UE) n° 1152/2014 de la Commission.</w:t>
            </w:r>
          </w:p>
          <w:p w14:paraId="5B53F08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Ligne 020 (Total</w:t>
            </w:r>
            <w:proofErr w:type="gramStart"/>
            <w:r>
              <w:rPr>
                <w:rFonts w:ascii="Times New Roman" w:hAnsi="Times New Roman"/>
                <w:sz w:val="24"/>
              </w:rPr>
              <w:t>):</w:t>
            </w:r>
            <w:proofErr w:type="gramEnd"/>
            <w:r>
              <w:rPr>
                <w:rFonts w:ascii="Times New Roman" w:hAnsi="Times New Roman"/>
                <w:sz w:val="24"/>
              </w:rPr>
              <w:t xml:space="preserve"> La somme de toutes les expositions de crédit pertinentes est déterminée conformément à l’article 140, paragraphe 4, point a), de la CRD et aux articles 166, 167 et 168 du CRR.</w:t>
            </w:r>
          </w:p>
        </w:tc>
      </w:tr>
      <w:tr w:rsidR="00455D0D" w:rsidRPr="007F4CC8" w14:paraId="2FD82798" w14:textId="77777777" w:rsidTr="00D819DE">
        <w:trPr>
          <w:trHeight w:val="316"/>
        </w:trPr>
        <w:tc>
          <w:tcPr>
            <w:tcW w:w="1384" w:type="dxa"/>
          </w:tcPr>
          <w:p w14:paraId="41DD12A9"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sz w:val="24"/>
              </w:rPr>
              <w:t xml:space="preserve">c </w:t>
            </w:r>
          </w:p>
        </w:tc>
        <w:tc>
          <w:tcPr>
            <w:tcW w:w="7655" w:type="dxa"/>
          </w:tcPr>
          <w:p w14:paraId="5921C026"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Somme des positions longues et courtes des expositions relevant du portefeuille de négociation pour l’approche standard</w:t>
            </w:r>
          </w:p>
          <w:p w14:paraId="7ED55B1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Somme des positions longues et courtes des expositions de crédit pertinentes, déterminée conformément à l’article 140, paragraphe 4, point b), de la CRD, calculée comme étant la somme des positions longues et courtes, déterminées conformément à l’article 327 du CRR</w:t>
            </w:r>
          </w:p>
          <w:p w14:paraId="5A13EFF9"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La ventilation géographique est effectuée conformément au règlement délégué (UE) n° 1152/2014 de la Commission.</w:t>
            </w:r>
          </w:p>
          <w:p w14:paraId="49E9F7E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lastRenderedPageBreak/>
              <w:t>Ligne 020 (Total</w:t>
            </w:r>
            <w:proofErr w:type="gramStart"/>
            <w:r>
              <w:rPr>
                <w:rFonts w:ascii="Times New Roman" w:hAnsi="Times New Roman"/>
                <w:sz w:val="24"/>
              </w:rPr>
              <w:t>):</w:t>
            </w:r>
            <w:proofErr w:type="gramEnd"/>
            <w:r>
              <w:rPr>
                <w:rFonts w:ascii="Times New Roman" w:hAnsi="Times New Roman"/>
                <w:sz w:val="24"/>
              </w:rPr>
              <w:t xml:space="preserve"> La somme des positions longues et courtes des expositions de crédit pertinentes est déterminée conformément à l’article 140, paragraphe 4, point b), de la CRD, et calculée comme étant la somme des positions longues et courtes, déterminée conformément à l’article 327 du CRR.</w:t>
            </w:r>
          </w:p>
        </w:tc>
      </w:tr>
      <w:tr w:rsidR="00455D0D" w:rsidRPr="007F4CC8" w14:paraId="6BD777EC" w14:textId="77777777" w:rsidTr="00D819DE">
        <w:trPr>
          <w:trHeight w:val="316"/>
        </w:trPr>
        <w:tc>
          <w:tcPr>
            <w:tcW w:w="1384" w:type="dxa"/>
          </w:tcPr>
          <w:p w14:paraId="1273C16C"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7DCFFF7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Valeur des expositions du portefeuille de négociation pour les modèles internes</w:t>
            </w:r>
          </w:p>
          <w:p w14:paraId="2F891B2E"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Somme des éléments </w:t>
            </w:r>
            <w:proofErr w:type="gramStart"/>
            <w:r>
              <w:rPr>
                <w:rFonts w:ascii="Times New Roman" w:hAnsi="Times New Roman"/>
                <w:sz w:val="24"/>
              </w:rPr>
              <w:t>suivants:</w:t>
            </w:r>
            <w:proofErr w:type="gramEnd"/>
          </w:p>
          <w:p w14:paraId="39E4732D"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 xml:space="preserve">Juste valeur des positions en espèces représentant des expositions de crédit pertinentes, telle que déterminée conformément à l’article 140, paragraphe 4, point b), de la CRD et à l’article 104 du </w:t>
            </w:r>
            <w:proofErr w:type="gramStart"/>
            <w:r>
              <w:rPr>
                <w:rFonts w:ascii="Times New Roman" w:hAnsi="Times New Roman"/>
                <w:sz w:val="24"/>
              </w:rPr>
              <w:t>CRR;</w:t>
            </w:r>
            <w:proofErr w:type="gramEnd"/>
          </w:p>
          <w:p w14:paraId="0C23596C" w14:textId="77777777" w:rsidR="00455D0D" w:rsidRPr="007F4CC8"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Pr>
                <w:rFonts w:ascii="Times New Roman" w:hAnsi="Times New Roman"/>
                <w:sz w:val="24"/>
              </w:rPr>
              <w:t>Valeur notionnelle des dérivés représentant des expositions de crédit pertinentes, telle que déterminée en vertu de conformément à l’article 140, paragraphe 4, point b), de la CRD.</w:t>
            </w:r>
          </w:p>
          <w:p w14:paraId="432A3011"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La ventilation géographique est effectuée conformément au règlement délégué (UE) n° 1152/2014 de la Commission.</w:t>
            </w:r>
          </w:p>
          <w:p w14:paraId="4482DFF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Ligne 020 (Total</w:t>
            </w:r>
            <w:proofErr w:type="gramStart"/>
            <w:r>
              <w:rPr>
                <w:rFonts w:ascii="Times New Roman" w:hAnsi="Times New Roman"/>
                <w:sz w:val="24"/>
              </w:rPr>
              <w:t>):</w:t>
            </w:r>
            <w:proofErr w:type="gramEnd"/>
            <w:r>
              <w:rPr>
                <w:rFonts w:ascii="Times New Roman" w:hAnsi="Times New Roman"/>
                <w:sz w:val="24"/>
              </w:rPr>
              <w:t xml:space="preserve"> La somme de la juste valeur de toutes les positions en espèces représentant des expositions de crédit pertinentes est déterminée conformément à l’article 140, paragraphe 4, point b), de la CRD et à l’article 104 du CRR, et la somme des valeurs notionnelles de tous les dérivés représentant des expositions de crédit pertinentes est déterminée conformément à l’article 140, paragraphe 4, point b), de la CRD.</w:t>
            </w:r>
          </w:p>
        </w:tc>
      </w:tr>
      <w:tr w:rsidR="00455D0D" w:rsidRPr="007F4CC8" w14:paraId="0B1D7D40" w14:textId="77777777" w:rsidTr="00D819DE">
        <w:trPr>
          <w:trHeight w:val="316"/>
        </w:trPr>
        <w:tc>
          <w:tcPr>
            <w:tcW w:w="1384" w:type="dxa"/>
          </w:tcPr>
          <w:p w14:paraId="44208D7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e</w:t>
            </w:r>
          </w:p>
        </w:tc>
        <w:tc>
          <w:tcPr>
            <w:tcW w:w="7655" w:type="dxa"/>
          </w:tcPr>
          <w:p w14:paraId="2FE034CC"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Expositions de titrisation Valeur exposée au risque pour le portefeuille hors négociation</w:t>
            </w:r>
          </w:p>
          <w:p w14:paraId="475647C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Valeur exposée au risque des expositions de crédit pertinentes, déterminée conformément à l’article 140, paragraphe 4, point c), de la CRD, et à l’article 248, points a) et c), du CRR.</w:t>
            </w:r>
          </w:p>
          <w:p w14:paraId="540C9D0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La ventilation géographique est effectuée conformément au règlement délégué (UE) n° 1152/2014 de la Commission.</w:t>
            </w:r>
          </w:p>
          <w:p w14:paraId="02F1A397"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Ligne 020 (Total</w:t>
            </w:r>
            <w:proofErr w:type="gramStart"/>
            <w:r>
              <w:rPr>
                <w:rFonts w:ascii="Times New Roman" w:hAnsi="Times New Roman"/>
                <w:sz w:val="24"/>
              </w:rPr>
              <w:t>):</w:t>
            </w:r>
            <w:proofErr w:type="gramEnd"/>
            <w:r>
              <w:rPr>
                <w:rFonts w:ascii="Times New Roman" w:hAnsi="Times New Roman"/>
                <w:sz w:val="24"/>
              </w:rPr>
              <w:t xml:space="preserve"> La somme de toutes les expositions de crédit pertinentes est déterminée conformément à l’article 140, paragraphe 4, point c), de la CRD, et à l’article 248, points a) et c), du CRR.</w:t>
            </w:r>
          </w:p>
        </w:tc>
      </w:tr>
      <w:tr w:rsidR="00455D0D" w:rsidRPr="007F4CC8" w14:paraId="1BCFEC03" w14:textId="77777777" w:rsidTr="00D819DE">
        <w:trPr>
          <w:trHeight w:val="695"/>
        </w:trPr>
        <w:tc>
          <w:tcPr>
            <w:tcW w:w="1384" w:type="dxa"/>
          </w:tcPr>
          <w:p w14:paraId="055AA5DF"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f</w:t>
            </w:r>
          </w:p>
        </w:tc>
        <w:tc>
          <w:tcPr>
            <w:tcW w:w="7655" w:type="dxa"/>
          </w:tcPr>
          <w:p w14:paraId="019A072A" w14:textId="0B9B604C"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Valeur d</w:t>
            </w:r>
            <w:r w:rsidR="002D310D">
              <w:rPr>
                <w:rFonts w:ascii="Times New Roman" w:hAnsi="Times New Roman"/>
                <w:b/>
                <w:sz w:val="24"/>
              </w:rPr>
              <w:t>’</w:t>
            </w:r>
            <w:r>
              <w:rPr>
                <w:rFonts w:ascii="Times New Roman" w:hAnsi="Times New Roman"/>
                <w:b/>
                <w:sz w:val="24"/>
              </w:rPr>
              <w:t>exposition totale</w:t>
            </w:r>
          </w:p>
          <w:p w14:paraId="0D119275" w14:textId="77777777" w:rsidR="00455D0D" w:rsidRPr="007F4CC8" w:rsidRDefault="00455D0D" w:rsidP="00D819DE">
            <w:pPr>
              <w:autoSpaceDE w:val="0"/>
              <w:autoSpaceDN w:val="0"/>
              <w:adjustRightInd w:val="0"/>
              <w:spacing w:before="120" w:after="120"/>
              <w:jc w:val="both"/>
              <w:rPr>
                <w:rFonts w:ascii="Times New Roman" w:hAnsi="Times New Roman"/>
                <w:sz w:val="24"/>
              </w:rPr>
            </w:pPr>
            <w:r>
              <w:rPr>
                <w:rFonts w:ascii="Times New Roman" w:hAnsi="Times New Roman"/>
                <w:sz w:val="24"/>
              </w:rPr>
              <w:t>Somme des montants figurant dans les colonnes a, b, c, d et e du présent modèle</w:t>
            </w:r>
          </w:p>
          <w:p w14:paraId="762C47EB"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Ligne 020 (Total</w:t>
            </w:r>
            <w:proofErr w:type="gramStart"/>
            <w:r>
              <w:rPr>
                <w:rFonts w:ascii="Times New Roman" w:hAnsi="Times New Roman"/>
                <w:sz w:val="24"/>
              </w:rPr>
              <w:t>):</w:t>
            </w:r>
            <w:proofErr w:type="gramEnd"/>
            <w:r>
              <w:rPr>
                <w:rFonts w:ascii="Times New Roman" w:hAnsi="Times New Roman"/>
                <w:sz w:val="24"/>
              </w:rPr>
              <w:t xml:space="preserve"> La somme de toutes les expositions de crédit pertinentes est déterminée conformément à l’article 140, paragraphe 4, de la CRD.</w:t>
            </w:r>
          </w:p>
        </w:tc>
      </w:tr>
      <w:tr w:rsidR="00455D0D" w:rsidRPr="007F4CC8" w14:paraId="133835DF" w14:textId="77777777" w:rsidTr="00D819DE">
        <w:trPr>
          <w:trHeight w:val="695"/>
        </w:trPr>
        <w:tc>
          <w:tcPr>
            <w:tcW w:w="1384" w:type="dxa"/>
          </w:tcPr>
          <w:p w14:paraId="129DFE2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g</w:t>
            </w:r>
          </w:p>
        </w:tc>
        <w:tc>
          <w:tcPr>
            <w:tcW w:w="7655" w:type="dxa"/>
          </w:tcPr>
          <w:p w14:paraId="522B76C1" w14:textId="7B1E4162"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Exigences de fonds propres </w:t>
            </w:r>
            <w:r w:rsidR="002D310D">
              <w:rPr>
                <w:rFonts w:ascii="Times New Roman" w:hAnsi="Times New Roman"/>
                <w:b/>
                <w:sz w:val="24"/>
              </w:rPr>
              <w:t>—</w:t>
            </w:r>
            <w:r>
              <w:rPr>
                <w:rFonts w:ascii="Times New Roman" w:hAnsi="Times New Roman"/>
                <w:b/>
                <w:sz w:val="24"/>
              </w:rPr>
              <w:t xml:space="preserve"> Expositions au risque de crédit pertinentes – risque de crédit</w:t>
            </w:r>
          </w:p>
          <w:p w14:paraId="6877B57C" w14:textId="0DF2A39B"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 xml:space="preserve">Exigences de fonds propres pour les expositions de crédit pertinentes dans le pays concerné, déterminées conformément à l’article 140, paragraphe 4, point a), de la CRD, et à la troisième partie, titre II, du CRR, en tenant compte des </w:t>
            </w:r>
            <w:r>
              <w:rPr>
                <w:rFonts w:ascii="Times New Roman" w:hAnsi="Times New Roman"/>
                <w:sz w:val="24"/>
              </w:rPr>
              <w:lastRenderedPageBreak/>
              <w:t>exigences de fonds propres résultant d</w:t>
            </w:r>
            <w:r w:rsidR="002D310D">
              <w:rPr>
                <w:rFonts w:ascii="Times New Roman" w:hAnsi="Times New Roman"/>
                <w:sz w:val="24"/>
              </w:rPr>
              <w:t>’</w:t>
            </w:r>
            <w:r>
              <w:rPr>
                <w:rFonts w:ascii="Times New Roman" w:hAnsi="Times New Roman"/>
                <w:sz w:val="24"/>
              </w:rPr>
              <w:t>éventuels ajustements des pondérations de risque effectués par le pays en vertu de l’article 458 du CRR</w:t>
            </w:r>
          </w:p>
          <w:p w14:paraId="537A3B0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Ligne 020 (Total</w:t>
            </w:r>
            <w:proofErr w:type="gramStart"/>
            <w:r>
              <w:rPr>
                <w:rFonts w:ascii="Times New Roman" w:hAnsi="Times New Roman"/>
                <w:sz w:val="24"/>
              </w:rPr>
              <w:t>):</w:t>
            </w:r>
            <w:proofErr w:type="gramEnd"/>
            <w:r>
              <w:rPr>
                <w:rFonts w:ascii="Times New Roman" w:hAnsi="Times New Roman"/>
                <w:sz w:val="24"/>
              </w:rPr>
              <w:t xml:space="preserve"> La somme de toutes les exigences de fonds propres pour les expositions de crédit pertinentes est déterminée conformément à l’article 140, paragraphe 4, point a), de la CRD, et à la troisième partie, titre II, du CRR.</w:t>
            </w:r>
          </w:p>
        </w:tc>
      </w:tr>
      <w:tr w:rsidR="00455D0D" w:rsidRPr="007F4CC8" w14:paraId="6FF64630" w14:textId="77777777" w:rsidTr="00D819DE">
        <w:trPr>
          <w:trHeight w:val="695"/>
        </w:trPr>
        <w:tc>
          <w:tcPr>
            <w:tcW w:w="1384" w:type="dxa"/>
          </w:tcPr>
          <w:p w14:paraId="6E775ED0"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h</w:t>
            </w:r>
          </w:p>
        </w:tc>
        <w:tc>
          <w:tcPr>
            <w:tcW w:w="7655" w:type="dxa"/>
          </w:tcPr>
          <w:p w14:paraId="747D313E" w14:textId="00EB516D"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Exigences de fonds propres </w:t>
            </w:r>
            <w:r w:rsidR="002D310D">
              <w:rPr>
                <w:rFonts w:ascii="Times New Roman" w:hAnsi="Times New Roman"/>
                <w:b/>
                <w:sz w:val="24"/>
              </w:rPr>
              <w:t>—</w:t>
            </w:r>
            <w:r>
              <w:rPr>
                <w:rFonts w:ascii="Times New Roman" w:hAnsi="Times New Roman"/>
                <w:b/>
                <w:sz w:val="24"/>
              </w:rPr>
              <w:t xml:space="preserve"> Expositions de crédit pertinentes – risque de marché </w:t>
            </w:r>
          </w:p>
          <w:p w14:paraId="01D71615" w14:textId="77777777" w:rsidR="00455D0D" w:rsidRPr="007F4CC8" w:rsidRDefault="00455D0D" w:rsidP="00D819DE">
            <w:pPr>
              <w:pStyle w:val="Fait"/>
              <w:spacing w:after="120"/>
            </w:pPr>
            <w:r>
              <w:t>Exigences de fonds propres pour les expositions de crédit pertinentes dans le pays concerné, déterminées conformément à l’article 140, paragraphe 4, point b), de la CRD, et à la troisième partie, titre IV, chapitre 2, du CRR, pour le risque spécifique, ou conformément à la troisième partie, titre IV, chapitre 5, du CRR, pour les risques supplémentaires de défaut et de migration</w:t>
            </w:r>
          </w:p>
          <w:p w14:paraId="3376CF2A" w14:textId="77777777" w:rsidR="00455D0D" w:rsidRPr="007F4CC8" w:rsidRDefault="00455D0D" w:rsidP="00D819DE">
            <w:pPr>
              <w:pStyle w:val="Fait"/>
              <w:spacing w:after="120"/>
            </w:pPr>
            <w:r>
              <w:t>Ligne 020 (Total</w:t>
            </w:r>
            <w:proofErr w:type="gramStart"/>
            <w:r>
              <w:t>):</w:t>
            </w:r>
            <w:proofErr w:type="gramEnd"/>
            <w:r>
              <w:t xml:space="preserve"> La somme de toutes les exigences de fonds propres pour les expositions de crédit pertinentes est déterminée conformément à l’article 140, paragraphe 4, point b), de la CRD, et à la troisième partie, titre IV, chapitre 2, du CRR, pour le risque spécifique, ou à la troisième partie, titre IV, chapitre 5, du CRR, pour les risques supplémentaires de défaut et de migration.</w:t>
            </w:r>
          </w:p>
        </w:tc>
      </w:tr>
      <w:tr w:rsidR="00455D0D" w:rsidRPr="007F4CC8" w14:paraId="091E5047" w14:textId="77777777" w:rsidTr="00D819DE">
        <w:trPr>
          <w:trHeight w:val="695"/>
        </w:trPr>
        <w:tc>
          <w:tcPr>
            <w:tcW w:w="1384" w:type="dxa"/>
          </w:tcPr>
          <w:p w14:paraId="55EF9EAA"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i</w:t>
            </w:r>
          </w:p>
        </w:tc>
        <w:tc>
          <w:tcPr>
            <w:tcW w:w="7655" w:type="dxa"/>
          </w:tcPr>
          <w:p w14:paraId="64A6CA14" w14:textId="2667A9BE"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b/>
                <w:sz w:val="24"/>
              </w:rPr>
              <w:t xml:space="preserve">Exigences de fonds propres </w:t>
            </w:r>
            <w:r w:rsidR="002D310D">
              <w:rPr>
                <w:rFonts w:ascii="Times New Roman" w:hAnsi="Times New Roman"/>
                <w:b/>
                <w:sz w:val="24"/>
              </w:rPr>
              <w:t>—</w:t>
            </w:r>
            <w:r>
              <w:rPr>
                <w:rFonts w:ascii="Times New Roman" w:hAnsi="Times New Roman"/>
                <w:b/>
                <w:sz w:val="24"/>
              </w:rPr>
              <w:t xml:space="preserve"> Expositions de crédit pertinentes – positions de titrisation dans le portefeuille hors négociation </w:t>
            </w:r>
          </w:p>
          <w:p w14:paraId="6DA357CD"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Exigences de fonds propres pour les expositions de crédit pertinentes dans le pays concerné, déterminées conformément à l’article 140, paragraphe 4, point c), de la CRD, et à la troisième partie, titre II, chapitre 5, du CRR</w:t>
            </w:r>
          </w:p>
          <w:p w14:paraId="2E6C3AF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Ligne 020 (Total</w:t>
            </w:r>
            <w:proofErr w:type="gramStart"/>
            <w:r>
              <w:rPr>
                <w:rFonts w:ascii="Times New Roman" w:hAnsi="Times New Roman"/>
                <w:sz w:val="24"/>
              </w:rPr>
              <w:t>):</w:t>
            </w:r>
            <w:proofErr w:type="gramEnd"/>
            <w:r>
              <w:rPr>
                <w:rFonts w:ascii="Times New Roman" w:hAnsi="Times New Roman"/>
                <w:sz w:val="24"/>
              </w:rPr>
              <w:t xml:space="preserve"> La somme de toutes les exigences de fonds propres pour les expositions de crédit pertinentes est déterminée conformément à l’article 140, paragraphe 4, point c), de la CRD, et à la troisième partie, titre II, chapitre 5, du CRR.</w:t>
            </w:r>
          </w:p>
        </w:tc>
      </w:tr>
      <w:tr w:rsidR="00455D0D" w:rsidRPr="007F4CC8" w14:paraId="1B31BDF8" w14:textId="77777777" w:rsidTr="00D819DE">
        <w:trPr>
          <w:trHeight w:val="695"/>
        </w:trPr>
        <w:tc>
          <w:tcPr>
            <w:tcW w:w="1384" w:type="dxa"/>
          </w:tcPr>
          <w:p w14:paraId="6AFA58A8"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j</w:t>
            </w:r>
          </w:p>
        </w:tc>
        <w:tc>
          <w:tcPr>
            <w:tcW w:w="7655" w:type="dxa"/>
          </w:tcPr>
          <w:p w14:paraId="21280CF6" w14:textId="5D3B5C5C"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Exigences de fonds propres </w:t>
            </w:r>
            <w:r w:rsidR="002D310D">
              <w:rPr>
                <w:rFonts w:ascii="Times New Roman" w:hAnsi="Times New Roman"/>
                <w:b/>
                <w:sz w:val="24"/>
              </w:rPr>
              <w:t>—</w:t>
            </w:r>
            <w:r>
              <w:rPr>
                <w:rFonts w:ascii="Times New Roman" w:hAnsi="Times New Roman"/>
                <w:b/>
                <w:sz w:val="24"/>
              </w:rPr>
              <w:t xml:space="preserve"> Total</w:t>
            </w:r>
          </w:p>
          <w:p w14:paraId="1885EA73"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Somme des montants des colonnes g, h et i du présent modèle</w:t>
            </w:r>
          </w:p>
          <w:p w14:paraId="647FF04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Ligne 020 (Total</w:t>
            </w:r>
            <w:proofErr w:type="gramStart"/>
            <w:r>
              <w:rPr>
                <w:rFonts w:ascii="Times New Roman" w:hAnsi="Times New Roman"/>
                <w:sz w:val="24"/>
              </w:rPr>
              <w:t>):</w:t>
            </w:r>
            <w:proofErr w:type="gramEnd"/>
            <w:r>
              <w:rPr>
                <w:rFonts w:ascii="Times New Roman" w:hAnsi="Times New Roman"/>
                <w:sz w:val="24"/>
              </w:rPr>
              <w:t xml:space="preserve"> La somme de toutes les exigences de fonds propres pour les expositions de crédit pertinentes est déterminée conformément à l’article 140, paragraphe 4, de la CRD.</w:t>
            </w:r>
          </w:p>
        </w:tc>
      </w:tr>
      <w:tr w:rsidR="00455D0D" w:rsidRPr="007F4CC8" w14:paraId="53136553" w14:textId="77777777" w:rsidTr="00D819DE">
        <w:trPr>
          <w:trHeight w:val="695"/>
        </w:trPr>
        <w:tc>
          <w:tcPr>
            <w:tcW w:w="1384" w:type="dxa"/>
          </w:tcPr>
          <w:p w14:paraId="5E519554"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k</w:t>
            </w:r>
          </w:p>
        </w:tc>
        <w:tc>
          <w:tcPr>
            <w:tcW w:w="7655" w:type="dxa"/>
          </w:tcPr>
          <w:p w14:paraId="7ADAA73B" w14:textId="129FCD76"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Montants d</w:t>
            </w:r>
            <w:r w:rsidR="002D310D">
              <w:rPr>
                <w:rFonts w:ascii="Times New Roman" w:hAnsi="Times New Roman"/>
                <w:b/>
                <w:sz w:val="24"/>
              </w:rPr>
              <w:t>’</w:t>
            </w:r>
            <w:r>
              <w:rPr>
                <w:rFonts w:ascii="Times New Roman" w:hAnsi="Times New Roman"/>
                <w:b/>
                <w:sz w:val="24"/>
              </w:rPr>
              <w:t>exposition pondérés</w:t>
            </w:r>
          </w:p>
          <w:p w14:paraId="314E7BF8"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Montants d’exposition pondérés pour les expositions de crédit pertinentes, déterminés conformément à l’article 140, paragraphe 4, de la CRD, et ventilés par pays en tenant compte des éventuels ajustements des pondérations de risque effectués par chaque pays conformément à l’article 458 du CRR.</w:t>
            </w:r>
          </w:p>
          <w:p w14:paraId="2AF6A48C" w14:textId="77777777" w:rsidR="00455D0D" w:rsidRPr="007F4CC8" w:rsidRDefault="00455D0D" w:rsidP="00D819DE">
            <w:pPr>
              <w:autoSpaceDE w:val="0"/>
              <w:autoSpaceDN w:val="0"/>
              <w:adjustRightInd w:val="0"/>
              <w:spacing w:before="120" w:after="120"/>
              <w:jc w:val="both"/>
              <w:rPr>
                <w:rFonts w:ascii="Times New Roman" w:hAnsi="Times New Roman" w:cs="Times New Roman"/>
                <w:sz w:val="24"/>
              </w:rPr>
            </w:pPr>
            <w:r>
              <w:rPr>
                <w:rFonts w:ascii="Times New Roman" w:hAnsi="Times New Roman"/>
                <w:sz w:val="24"/>
              </w:rPr>
              <w:t>Ligne 020 (Total</w:t>
            </w:r>
            <w:proofErr w:type="gramStart"/>
            <w:r>
              <w:rPr>
                <w:rFonts w:ascii="Times New Roman" w:hAnsi="Times New Roman"/>
                <w:sz w:val="24"/>
              </w:rPr>
              <w:t>):</w:t>
            </w:r>
            <w:proofErr w:type="gramEnd"/>
            <w:r>
              <w:rPr>
                <w:rFonts w:ascii="Times New Roman" w:hAnsi="Times New Roman"/>
                <w:sz w:val="24"/>
              </w:rPr>
              <w:t xml:space="preserve"> La somme de tous les montants d’exposition pondérés pour les expositions de crédit pertinentes est déterminée conformément à l’article 140, paragraphe 4, de la CRD.</w:t>
            </w:r>
          </w:p>
        </w:tc>
      </w:tr>
      <w:tr w:rsidR="00455D0D" w:rsidRPr="007F4CC8" w14:paraId="69E793ED" w14:textId="77777777" w:rsidTr="00D819DE">
        <w:trPr>
          <w:trHeight w:val="695"/>
        </w:trPr>
        <w:tc>
          <w:tcPr>
            <w:tcW w:w="1384" w:type="dxa"/>
          </w:tcPr>
          <w:p w14:paraId="2A231285"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l</w:t>
            </w:r>
          </w:p>
        </w:tc>
        <w:tc>
          <w:tcPr>
            <w:tcW w:w="7655" w:type="dxa"/>
          </w:tcPr>
          <w:p w14:paraId="1E8A4B57"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Pondérations des exigences de fonds propres (%)</w:t>
            </w:r>
          </w:p>
          <w:p w14:paraId="3A7905F9"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Pondération appliquée au taux de coussin contracyclique dans chaque pays, calculée comme le total des exigences de fonds propres relatives aux expositions de crédit pertinentes dans le pays concerné (ligne 01X, colonne j du présent modèle), divisé par le total des exigences de fonds propres relatives à toutes les expositions de crédit pertinentes pour le calcul du coussin contracyclique, au sens de l’article 140, paragraphe 4, de la CRD (ligne 020, colonne j du présent modèle)</w:t>
            </w:r>
          </w:p>
          <w:p w14:paraId="4FE6F23B"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Cette valeur est indiquée en pourcentage à 2 décimales.</w:t>
            </w:r>
          </w:p>
        </w:tc>
      </w:tr>
      <w:tr w:rsidR="00455D0D" w:rsidRPr="007F4CC8" w14:paraId="78993D09" w14:textId="77777777" w:rsidTr="00D819DE">
        <w:trPr>
          <w:trHeight w:val="695"/>
        </w:trPr>
        <w:tc>
          <w:tcPr>
            <w:tcW w:w="1384" w:type="dxa"/>
          </w:tcPr>
          <w:p w14:paraId="7422EAC6"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m</w:t>
            </w:r>
          </w:p>
        </w:tc>
        <w:tc>
          <w:tcPr>
            <w:tcW w:w="7655" w:type="dxa"/>
          </w:tcPr>
          <w:p w14:paraId="7A959B8C"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Taux de coussin contracyclique (%)</w:t>
            </w:r>
          </w:p>
          <w:p w14:paraId="587D402C"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Taux de coussin de fonds propres contracyclique applicable dans le pays concerné et fixé conformément aux articles 136, 137, 138 et 139 de la CRD</w:t>
            </w:r>
          </w:p>
          <w:p w14:paraId="5813AAA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Cette colonne n’inclut pas les taux de coussin de fonds propres contracyclique qui ont été fixés mais ne sont pas encore applicables au moment du calcul du coussin de fonds propres contracyclique spécifique à l’établissement auquel les informations à fournir se rapportent.</w:t>
            </w:r>
          </w:p>
          <w:p w14:paraId="0585C9BE"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Cette valeur est indiquée en pourcentage avec le même nombre de décimales que le taux fixé conformément aux articles 136, 137, 138 et 139 de la CRD.</w:t>
            </w:r>
          </w:p>
        </w:tc>
      </w:tr>
    </w:tbl>
    <w:p w14:paraId="29C77942" w14:textId="77777777" w:rsidR="00455D0D" w:rsidRPr="007F4CC8" w:rsidRDefault="00455D0D" w:rsidP="00455D0D">
      <w:pPr>
        <w:jc w:val="both"/>
        <w:rPr>
          <w:rFonts w:ascii="Times New Roman" w:hAnsi="Times New Roman" w:cs="Times New Roman"/>
          <w:sz w:val="24"/>
        </w:rPr>
      </w:pPr>
    </w:p>
    <w:p w14:paraId="64839D89" w14:textId="05CB6CEA" w:rsidR="00455D0D" w:rsidRPr="007F4CC8" w:rsidRDefault="00455D0D" w:rsidP="00455D0D">
      <w:pPr>
        <w:autoSpaceDE w:val="0"/>
        <w:autoSpaceDN w:val="0"/>
        <w:adjustRightInd w:val="0"/>
        <w:jc w:val="both"/>
        <w:rPr>
          <w:rFonts w:ascii="Times New Roman" w:hAnsi="Times New Roman" w:cs="Times New Roman"/>
          <w:b/>
          <w:sz w:val="24"/>
        </w:rPr>
      </w:pPr>
      <w:r>
        <w:rPr>
          <w:rFonts w:ascii="Times New Roman" w:hAnsi="Times New Roman"/>
          <w:b/>
          <w:sz w:val="24"/>
        </w:rPr>
        <w:t xml:space="preserve">Modèle EU CCyB2 </w:t>
      </w:r>
      <w:r w:rsidR="002D310D">
        <w:rPr>
          <w:rFonts w:ascii="Times New Roman" w:hAnsi="Times New Roman"/>
          <w:b/>
          <w:sz w:val="24"/>
        </w:rPr>
        <w:t>—</w:t>
      </w:r>
      <w:r>
        <w:rPr>
          <w:rFonts w:ascii="Times New Roman" w:hAnsi="Times New Roman"/>
          <w:b/>
          <w:sz w:val="24"/>
        </w:rPr>
        <w:t xml:space="preserve"> Montant du coussin de fonds propres contracyclique spécifique à l</w:t>
      </w:r>
      <w:r w:rsidR="002D310D">
        <w:rPr>
          <w:rFonts w:ascii="Times New Roman" w:hAnsi="Times New Roman"/>
          <w:b/>
          <w:sz w:val="24"/>
        </w:rPr>
        <w:t>’</w:t>
      </w:r>
      <w:r>
        <w:rPr>
          <w:rFonts w:ascii="Times New Roman" w:hAnsi="Times New Roman"/>
          <w:b/>
          <w:sz w:val="24"/>
        </w:rPr>
        <w:t>établissement</w:t>
      </w:r>
    </w:p>
    <w:p w14:paraId="283F7254" w14:textId="77777777" w:rsidR="00455D0D" w:rsidRPr="007F4CC8" w:rsidRDefault="00455D0D" w:rsidP="00455D0D">
      <w:pPr>
        <w:pStyle w:val="ListParagraph"/>
        <w:numPr>
          <w:ilvl w:val="0"/>
          <w:numId w:val="2"/>
        </w:numPr>
        <w:spacing w:before="120" w:after="120"/>
        <w:ind w:left="425" w:hanging="357"/>
        <w:jc w:val="both"/>
        <w:rPr>
          <w:rFonts w:ascii="Times New Roman" w:hAnsi="Times New Roman"/>
          <w:sz w:val="24"/>
        </w:rPr>
      </w:pPr>
      <w:r>
        <w:rPr>
          <w:rFonts w:ascii="Times New Roman" w:hAnsi="Times New Roman"/>
          <w:sz w:val="24"/>
        </w:rPr>
        <w:t>Les établissements publient les informations visées à l’article 440, point b), du CRR, suivant les instructions fournies ci-dessous dans la présente annexe pour compléter le modèle EU CCyB2 présenté à l’annexe IX du présent règlement d’exécution.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360D081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1C706" w14:textId="77777777" w:rsidR="00455D0D" w:rsidRPr="007F4CC8" w:rsidRDefault="00455D0D" w:rsidP="00D819DE">
            <w:pPr>
              <w:jc w:val="both"/>
              <w:rPr>
                <w:rFonts w:ascii="Times New Roman" w:hAnsi="Times New Roman" w:cs="Times New Roman"/>
                <w:b/>
                <w:sz w:val="24"/>
              </w:rPr>
            </w:pPr>
            <w:r>
              <w:rPr>
                <w:rFonts w:ascii="Times New Roman" w:hAnsi="Times New Roman"/>
                <w:b/>
                <w:sz w:val="24"/>
              </w:rPr>
              <w:t>Références juridiques et instructions</w:t>
            </w:r>
          </w:p>
        </w:tc>
      </w:tr>
      <w:tr w:rsidR="00455D0D" w:rsidRPr="007F4CC8" w14:paraId="658922CA" w14:textId="77777777" w:rsidTr="00D819DE">
        <w:trPr>
          <w:trHeight w:val="238"/>
        </w:trPr>
        <w:tc>
          <w:tcPr>
            <w:tcW w:w="1384" w:type="dxa"/>
            <w:shd w:val="clear" w:color="auto" w:fill="D9D9D9" w:themeFill="background1" w:themeFillShade="D9"/>
          </w:tcPr>
          <w:p w14:paraId="2CFC7589"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6C35C310"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Explication</w:t>
            </w:r>
          </w:p>
        </w:tc>
      </w:tr>
      <w:tr w:rsidR="00455D0D" w:rsidRPr="007F4CC8" w14:paraId="32D19805" w14:textId="77777777" w:rsidTr="00D819DE">
        <w:trPr>
          <w:trHeight w:val="1055"/>
        </w:trPr>
        <w:tc>
          <w:tcPr>
            <w:tcW w:w="1384" w:type="dxa"/>
          </w:tcPr>
          <w:p w14:paraId="59088176" w14:textId="77777777" w:rsidR="00455D0D" w:rsidRPr="007F4CC8" w:rsidRDefault="00455D0D" w:rsidP="00D819DE">
            <w:pPr>
              <w:pStyle w:val="Applicationdirecte"/>
              <w:spacing w:before="120"/>
            </w:pPr>
            <w:r>
              <w:t>1</w:t>
            </w:r>
          </w:p>
        </w:tc>
        <w:tc>
          <w:tcPr>
            <w:tcW w:w="7655" w:type="dxa"/>
          </w:tcPr>
          <w:p w14:paraId="365B8327" w14:textId="60B235FA" w:rsidR="00455D0D" w:rsidRPr="007F4CC8" w:rsidRDefault="00455D0D" w:rsidP="00D819DE">
            <w:pPr>
              <w:pStyle w:val="Applicationdirecte"/>
              <w:spacing w:before="120"/>
              <w:rPr>
                <w:b/>
              </w:rPr>
            </w:pPr>
            <w:r>
              <w:rPr>
                <w:b/>
              </w:rPr>
              <w:t>Montant total d</w:t>
            </w:r>
            <w:r w:rsidR="002D310D">
              <w:rPr>
                <w:b/>
              </w:rPr>
              <w:t>’</w:t>
            </w:r>
            <w:r>
              <w:rPr>
                <w:b/>
              </w:rPr>
              <w:t>exposition au risque</w:t>
            </w:r>
          </w:p>
          <w:p w14:paraId="6FC34F99"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Montant total d’exposition au risque calculé conformément à l’article 92, paragraphe 3, du CRR</w:t>
            </w:r>
          </w:p>
        </w:tc>
      </w:tr>
      <w:tr w:rsidR="00455D0D" w:rsidRPr="007F4CC8" w14:paraId="768C2D66" w14:textId="77777777" w:rsidTr="00D819DE">
        <w:trPr>
          <w:trHeight w:val="316"/>
        </w:trPr>
        <w:tc>
          <w:tcPr>
            <w:tcW w:w="1384" w:type="dxa"/>
          </w:tcPr>
          <w:p w14:paraId="2DC1BFF9"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t>2</w:t>
            </w:r>
          </w:p>
        </w:tc>
        <w:tc>
          <w:tcPr>
            <w:tcW w:w="7655" w:type="dxa"/>
          </w:tcPr>
          <w:p w14:paraId="7CEE8A38"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 xml:space="preserve">Taux de coussin de fonds propres contracyclique spécifique à l’établissement </w:t>
            </w:r>
          </w:p>
          <w:p w14:paraId="6639939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Taux de coussin de fonds propres contracyclique spécifique à l’établissement, déterminé conformément à l’article 140, paragraphe 1, de la CRD </w:t>
            </w:r>
          </w:p>
          <w:p w14:paraId="49DFA41A"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Le taux de coussin de fonds propres contracyclique spécifique à l’établissement est égal à la moyenne pondérée des taux de coussin contracyclique appliqués dans les pays où se situent les expositions de crédit pertinentes de l’établissement, suivant les lignes 010.1 à 010.X, colonne m, du modèle EU CCyB1.</w:t>
            </w:r>
          </w:p>
          <w:p w14:paraId="23A765A5"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La pondération appliquée au taux de coussin contracyclique dans chaque pays est le ratio entre les exigences de fonds propres correspondantes et le total des </w:t>
            </w:r>
            <w:r>
              <w:rPr>
                <w:rFonts w:ascii="Times New Roman" w:hAnsi="Times New Roman"/>
                <w:sz w:val="24"/>
              </w:rPr>
              <w:lastRenderedPageBreak/>
              <w:t xml:space="preserve">exigences de fonds </w:t>
            </w:r>
            <w:proofErr w:type="gramStart"/>
            <w:r>
              <w:rPr>
                <w:rFonts w:ascii="Times New Roman" w:hAnsi="Times New Roman"/>
                <w:sz w:val="24"/>
              </w:rPr>
              <w:t>propres;</w:t>
            </w:r>
            <w:proofErr w:type="gramEnd"/>
            <w:r>
              <w:rPr>
                <w:rFonts w:ascii="Times New Roman" w:hAnsi="Times New Roman"/>
                <w:sz w:val="24"/>
              </w:rPr>
              <w:t xml:space="preserve"> elle figure dans la colonne l du modèle EU CCyB1. </w:t>
            </w:r>
          </w:p>
          <w:p w14:paraId="67F32981" w14:textId="77777777" w:rsidR="00455D0D" w:rsidRPr="007F4CC8" w:rsidRDefault="00455D0D"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Elle est indiquée en pourcentage à 2 décimales.</w:t>
            </w:r>
          </w:p>
        </w:tc>
      </w:tr>
      <w:tr w:rsidR="00455D0D" w:rsidRPr="007F4CC8" w14:paraId="44E7A9FA" w14:textId="77777777" w:rsidTr="00D819DE">
        <w:trPr>
          <w:trHeight w:val="316"/>
        </w:trPr>
        <w:tc>
          <w:tcPr>
            <w:tcW w:w="1384" w:type="dxa"/>
          </w:tcPr>
          <w:p w14:paraId="7AB6A5B3" w14:textId="77777777" w:rsidR="00455D0D" w:rsidRPr="007F4CC8" w:rsidRDefault="00455D0D" w:rsidP="00D819DE">
            <w:pPr>
              <w:autoSpaceDE w:val="0"/>
              <w:autoSpaceDN w:val="0"/>
              <w:adjustRightInd w:val="0"/>
              <w:jc w:val="both"/>
              <w:rPr>
                <w:rFonts w:ascii="Times New Roman" w:eastAsia="Times New Roman" w:hAnsi="Times New Roman" w:cs="Times New Roman"/>
                <w:sz w:val="24"/>
              </w:rPr>
            </w:pPr>
            <w:r>
              <w:rPr>
                <w:rFonts w:ascii="Times New Roman" w:hAnsi="Times New Roman"/>
                <w:sz w:val="24"/>
              </w:rPr>
              <w:lastRenderedPageBreak/>
              <w:t>3</w:t>
            </w:r>
          </w:p>
        </w:tc>
        <w:tc>
          <w:tcPr>
            <w:tcW w:w="7655" w:type="dxa"/>
          </w:tcPr>
          <w:p w14:paraId="4BFFC9C6" w14:textId="002B261A"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b/>
                <w:sz w:val="24"/>
              </w:rPr>
              <w:t>Exigence de coussin de fonds propres contracyclique spécifique à l</w:t>
            </w:r>
            <w:r w:rsidR="002D310D">
              <w:rPr>
                <w:rFonts w:ascii="Times New Roman" w:hAnsi="Times New Roman"/>
                <w:b/>
                <w:sz w:val="24"/>
              </w:rPr>
              <w:t>’</w:t>
            </w:r>
            <w:r>
              <w:rPr>
                <w:rFonts w:ascii="Times New Roman" w:hAnsi="Times New Roman"/>
                <w:b/>
                <w:sz w:val="24"/>
              </w:rPr>
              <w:t>établissement</w:t>
            </w:r>
          </w:p>
          <w:p w14:paraId="2EEC939D" w14:textId="77777777" w:rsidR="00455D0D" w:rsidRPr="007F4CC8" w:rsidRDefault="00455D0D" w:rsidP="00D819DE">
            <w:pPr>
              <w:autoSpaceDE w:val="0"/>
              <w:autoSpaceDN w:val="0"/>
              <w:adjustRightInd w:val="0"/>
              <w:spacing w:before="120" w:after="120"/>
              <w:jc w:val="both"/>
              <w:rPr>
                <w:rFonts w:ascii="Times New Roman" w:hAnsi="Times New Roman" w:cs="Times New Roman"/>
                <w:b/>
                <w:sz w:val="24"/>
              </w:rPr>
            </w:pPr>
            <w:r>
              <w:rPr>
                <w:rFonts w:ascii="Times New Roman" w:hAnsi="Times New Roman"/>
                <w:sz w:val="24"/>
              </w:rPr>
              <w:t>Exigence de coussin de fonds propres contracyclique spécifique à l’établissement, obtenue en appliquant le taux de coussin contracyclique spécifique à l’établissement, indiqué à la ligne 2 du présent modèle, au montant total d’exposition au risque indiqué à la ligne 1.</w:t>
            </w:r>
          </w:p>
        </w:tc>
      </w:tr>
    </w:tbl>
    <w:p w14:paraId="0670C1A7" w14:textId="77777777" w:rsidR="00455D0D" w:rsidRPr="007F4CC8" w:rsidRDefault="00455D0D" w:rsidP="00455D0D">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7F4CC8" w14:paraId="5C8A2212"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1D160" w14:textId="77777777" w:rsidR="00455D0D" w:rsidRPr="007F4CC8" w:rsidRDefault="00455D0D" w:rsidP="00D819DE">
            <w:pPr>
              <w:jc w:val="both"/>
              <w:rPr>
                <w:rFonts w:ascii="Times New Roman" w:hAnsi="Times New Roman" w:cs="Times New Roman"/>
                <w:b/>
                <w:sz w:val="24"/>
              </w:rPr>
            </w:pPr>
            <w:r>
              <w:rPr>
                <w:rFonts w:ascii="Times New Roman" w:hAnsi="Times New Roman"/>
                <w:b/>
                <w:sz w:val="24"/>
              </w:rPr>
              <w:t>Références juridiques et instructions</w:t>
            </w:r>
          </w:p>
        </w:tc>
      </w:tr>
      <w:tr w:rsidR="00455D0D" w:rsidRPr="007F4CC8" w14:paraId="3AE40F7E" w14:textId="77777777" w:rsidTr="00D819DE">
        <w:trPr>
          <w:trHeight w:val="238"/>
        </w:trPr>
        <w:tc>
          <w:tcPr>
            <w:tcW w:w="1384" w:type="dxa"/>
            <w:shd w:val="clear" w:color="auto" w:fill="D9D9D9" w:themeFill="background1" w:themeFillShade="D9"/>
          </w:tcPr>
          <w:p w14:paraId="3A49F058" w14:textId="77777777" w:rsidR="00455D0D" w:rsidRPr="007F4CC8" w:rsidRDefault="00455D0D" w:rsidP="00D819DE">
            <w:pPr>
              <w:autoSpaceDE w:val="0"/>
              <w:autoSpaceDN w:val="0"/>
              <w:adjustRightInd w:val="0"/>
              <w:jc w:val="both"/>
              <w:rPr>
                <w:rFonts w:ascii="Times New Roman" w:hAnsi="Times New Roman" w:cs="Times New Roman"/>
                <w:b/>
                <w:sz w:val="24"/>
              </w:rPr>
            </w:pPr>
            <w:r>
              <w:rPr>
                <w:rFonts w:ascii="Times New Roman" w:hAnsi="Times New Roman"/>
                <w:b/>
                <w:sz w:val="24"/>
              </w:rPr>
              <w:t>Numéro de la colonne</w:t>
            </w:r>
          </w:p>
        </w:tc>
        <w:tc>
          <w:tcPr>
            <w:tcW w:w="7655" w:type="dxa"/>
            <w:shd w:val="clear" w:color="auto" w:fill="D9D9D9" w:themeFill="background1" w:themeFillShade="D9"/>
          </w:tcPr>
          <w:p w14:paraId="419637B6" w14:textId="77777777" w:rsidR="00455D0D" w:rsidRPr="007F4CC8" w:rsidRDefault="00455D0D" w:rsidP="00D819DE">
            <w:pPr>
              <w:autoSpaceDE w:val="0"/>
              <w:autoSpaceDN w:val="0"/>
              <w:adjustRightInd w:val="0"/>
              <w:jc w:val="both"/>
              <w:rPr>
                <w:rFonts w:ascii="Times New Roman" w:hAnsi="Times New Roman" w:cs="Times New Roman"/>
                <w:color w:val="000000"/>
                <w:sz w:val="24"/>
              </w:rPr>
            </w:pPr>
            <w:r>
              <w:rPr>
                <w:rFonts w:ascii="Times New Roman" w:hAnsi="Times New Roman"/>
                <w:b/>
                <w:sz w:val="24"/>
              </w:rPr>
              <w:t>Explication</w:t>
            </w:r>
          </w:p>
        </w:tc>
      </w:tr>
      <w:tr w:rsidR="00455D0D" w:rsidRPr="007F4CC8" w14:paraId="6D043B5C" w14:textId="77777777" w:rsidTr="00D819DE">
        <w:trPr>
          <w:trHeight w:val="703"/>
        </w:trPr>
        <w:tc>
          <w:tcPr>
            <w:tcW w:w="1384" w:type="dxa"/>
          </w:tcPr>
          <w:p w14:paraId="5A332E76" w14:textId="77777777" w:rsidR="00455D0D" w:rsidRPr="007F4CC8" w:rsidRDefault="00455D0D" w:rsidP="00D819DE">
            <w:pPr>
              <w:pStyle w:val="Applicationdirecte"/>
              <w:spacing w:before="120"/>
            </w:pPr>
            <w:r>
              <w:t>a</w:t>
            </w:r>
          </w:p>
        </w:tc>
        <w:tc>
          <w:tcPr>
            <w:tcW w:w="7655" w:type="dxa"/>
          </w:tcPr>
          <w:p w14:paraId="788A4EF6" w14:textId="77777777" w:rsidR="00455D0D" w:rsidRPr="007F4CC8" w:rsidRDefault="00455D0D" w:rsidP="00D819DE">
            <w:pPr>
              <w:autoSpaceDE w:val="0"/>
              <w:autoSpaceDN w:val="0"/>
              <w:adjustRightInd w:val="0"/>
              <w:spacing w:before="120" w:after="120"/>
              <w:jc w:val="both"/>
              <w:rPr>
                <w:rFonts w:ascii="Times New Roman" w:hAnsi="Times New Roman" w:cs="Times New Roman"/>
                <w:color w:val="000000"/>
                <w:sz w:val="24"/>
              </w:rPr>
            </w:pPr>
            <w:r>
              <w:rPr>
                <w:rFonts w:ascii="Times New Roman" w:hAnsi="Times New Roman"/>
                <w:sz w:val="24"/>
              </w:rPr>
              <w:t>La valeur obtenue conformément aux explications fournies pour les lignes 1 à 3 du présent modèle.</w:t>
            </w:r>
          </w:p>
        </w:tc>
      </w:tr>
    </w:tbl>
    <w:p w14:paraId="56662C56"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BB986" w14:textId="77777777" w:rsidR="00DE3BED" w:rsidRDefault="00DE3BED" w:rsidP="00455D0D">
      <w:r>
        <w:separator/>
      </w:r>
    </w:p>
  </w:endnote>
  <w:endnote w:type="continuationSeparator" w:id="0">
    <w:p w14:paraId="318E4105" w14:textId="77777777" w:rsidR="00DE3BED" w:rsidRDefault="00DE3BED" w:rsidP="0045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176196"/>
      <w:docPartObj>
        <w:docPartGallery w:val="Page Numbers (Bottom of Page)"/>
        <w:docPartUnique/>
      </w:docPartObj>
    </w:sdtPr>
    <w:sdtEndPr>
      <w:rPr>
        <w:noProof/>
      </w:rPr>
    </w:sdtEndPr>
    <w:sdtContent>
      <w:p w14:paraId="60E8034C" w14:textId="77777777" w:rsidR="00455D0D" w:rsidRDefault="00455D0D">
        <w:pPr>
          <w:pStyle w:val="Footer"/>
          <w:jc w:val="right"/>
        </w:pPr>
        <w:r>
          <w:fldChar w:fldCharType="begin"/>
        </w:r>
        <w:r>
          <w:instrText xml:space="preserve"> PAGE   \* MERGEFORMAT </w:instrText>
        </w:r>
        <w:r>
          <w:fldChar w:fldCharType="separate"/>
        </w:r>
        <w:r>
          <w:t>5</w:t>
        </w:r>
        <w:r>
          <w:fldChar w:fldCharType="end"/>
        </w:r>
      </w:p>
    </w:sdtContent>
  </w:sdt>
  <w:p w14:paraId="3FD3665B" w14:textId="77777777" w:rsidR="00455D0D" w:rsidRDefault="00455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2C4D" w14:textId="77777777" w:rsidR="00DE3BED" w:rsidRDefault="00DE3BED" w:rsidP="00455D0D">
      <w:r>
        <w:separator/>
      </w:r>
    </w:p>
  </w:footnote>
  <w:footnote w:type="continuationSeparator" w:id="0">
    <w:p w14:paraId="72D34102" w14:textId="77777777" w:rsidR="00DE3BED" w:rsidRDefault="00DE3BED" w:rsidP="00455D0D">
      <w:r>
        <w:continuationSeparator/>
      </w:r>
    </w:p>
  </w:footnote>
  <w:footnote w:id="1">
    <w:p w14:paraId="424F9A4F" w14:textId="41D55D5F" w:rsidR="00455D0D" w:rsidRPr="00222AAB" w:rsidRDefault="00455D0D" w:rsidP="00455D0D">
      <w:pPr>
        <w:pStyle w:val="FootnoteText"/>
        <w:rPr>
          <w:rFonts w:cstheme="minorHAnsi"/>
        </w:rPr>
      </w:pPr>
      <w:r>
        <w:rPr>
          <w:rStyle w:val="FootnoteReference"/>
          <w:rFonts w:cstheme="minorHAnsi"/>
        </w:rPr>
        <w:footnoteRef/>
      </w:r>
      <w:r>
        <w:t xml:space="preserve"> </w:t>
      </w:r>
      <w:r>
        <w:tab/>
        <w:t xml:space="preserve">Règlement (UE) nº 575/2013 du Parlement européen et du Conseil du 26 juin 2013 concernant les exigences prudentielles applicables aux établissements de crédit et modifiant le règlement (UE) nº 648/2012, tel que modifié par le règlement (UE) 2024/1623 </w:t>
      </w:r>
      <w:r>
        <w:rPr>
          <w:color w:val="444444"/>
        </w:rPr>
        <w:t>[</w:t>
      </w:r>
      <w:hyperlink r:id="rId1" w:history="1">
        <w:r>
          <w:rPr>
            <w:rStyle w:val="Hyperlink"/>
            <w:color w:val="800080"/>
          </w:rPr>
          <w:t>JO L 176 du 27.6.2013, p. 1</w:t>
        </w:r>
      </w:hyperlink>
      <w:r>
        <w:rPr>
          <w:color w:val="800080"/>
          <w:u w:val="single"/>
        </w:rPr>
        <w:t xml:space="preserve">; </w:t>
      </w:r>
      <w:hyperlink r:id="rId2" w:history="1">
        <w:r>
          <w:rPr>
            <w:rStyle w:val="Hyperlink"/>
          </w:rPr>
          <w:t>Règlement - UE - 2024/1623 - FR - EUR-Lex (europa.eu)</w:t>
        </w:r>
      </w:hyperlink>
      <w:r>
        <w:rPr>
          <w:color w:val="444444"/>
        </w:rPr>
        <w:t>]</w:t>
      </w:r>
      <w:r>
        <w:t>.</w:t>
      </w:r>
    </w:p>
  </w:footnote>
  <w:footnote w:id="2">
    <w:p w14:paraId="02DF96C7" w14:textId="697CF201" w:rsidR="00455D0D" w:rsidRPr="00222AAB" w:rsidRDefault="00455D0D" w:rsidP="00455D0D">
      <w:pPr>
        <w:pStyle w:val="FootnoteText"/>
        <w:rPr>
          <w:rFonts w:cstheme="minorHAnsi"/>
        </w:rPr>
      </w:pPr>
      <w:r>
        <w:rPr>
          <w:rStyle w:val="FootnoteReference"/>
          <w:rFonts w:cstheme="minorHAnsi"/>
        </w:rPr>
        <w:footnoteRef/>
      </w:r>
      <w:r>
        <w:tab/>
        <w:t>Directive 2013/36/UE du Parlement européen et du Conseil du 26 juin 2013 concernant l’accès à l’activité des établissements de crédit et la surveillance prudentielle des établissements de crédit, modifiant la directive 2002/87/CE et abrogeant les directives 2006/48/CE et 2006/49/CE</w:t>
      </w:r>
      <w:r>
        <w:rPr>
          <w:rFonts w:ascii="Roboto" w:hAnsi="Roboto"/>
          <w:b/>
          <w:color w:val="333333"/>
          <w:sz w:val="21"/>
          <w:shd w:val="clear" w:color="auto" w:fill="FFFFFF"/>
        </w:rPr>
        <w:t xml:space="preserve"> </w:t>
      </w:r>
      <w:r>
        <w:t>(JO L 176 du 27.6.2013, p. 338).</w:t>
      </w:r>
    </w:p>
  </w:footnote>
  <w:footnote w:id="3">
    <w:p w14:paraId="56A80E1C" w14:textId="77777777" w:rsidR="00455D0D" w:rsidRPr="00222AAB" w:rsidRDefault="00455D0D" w:rsidP="00455D0D">
      <w:pPr>
        <w:pStyle w:val="FootnoteText"/>
        <w:rPr>
          <w:rFonts w:cstheme="minorHAnsi"/>
        </w:rPr>
      </w:pPr>
      <w:r>
        <w:rPr>
          <w:rStyle w:val="FootnoteReference"/>
          <w:rFonts w:cstheme="minorHAnsi"/>
        </w:rPr>
        <w:footnoteRef/>
      </w:r>
      <w:r>
        <w:t xml:space="preserve"> </w:t>
      </w:r>
      <w:r>
        <w:tab/>
        <w:t>RÈGLEMENT DÉLÉGUÉ (UE) Nº 1152/2014 DE LA COMMISSION du 4 juin 2014 complétant la directive 2013/36/UE du Parlement européen et du Conseil par des normes techniques de réglementation précisant la méthode à utiliser pour déterminer la localisation géographique des expositions de crédit pertinentes aux fins du calcul du taux de coussin de fonds propres contracyclique spécifique à l’établissement (JO L 309 du 30.10.2014, p.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110C" w14:textId="302A6D63" w:rsidR="00B80E57" w:rsidRDefault="00B80E57">
    <w:pPr>
      <w:pStyle w:val="Header"/>
    </w:pPr>
    <w:r>
      <w:rPr>
        <w:noProof/>
      </w:rPr>
      <mc:AlternateContent>
        <mc:Choice Requires="wps">
          <w:drawing>
            <wp:anchor distT="0" distB="0" distL="0" distR="0" simplePos="0" relativeHeight="251659264" behindDoc="0" locked="0" layoutInCell="1" allowOverlap="1" wp14:anchorId="66B32C67" wp14:editId="37755B92">
              <wp:simplePos x="635" y="635"/>
              <wp:positionH relativeFrom="page">
                <wp:align>left</wp:align>
              </wp:positionH>
              <wp:positionV relativeFrom="page">
                <wp:align>top</wp:align>
              </wp:positionV>
              <wp:extent cx="1273175" cy="376555"/>
              <wp:effectExtent l="0" t="0" r="3175" b="4445"/>
              <wp:wrapNone/>
              <wp:docPr id="307149112"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6B32C67" id="_x0000_t202" coordsize="21600,21600" o:spt="202" path="m,l,21600r21600,l21600,xe">
              <v:stroke joinstyle="miter"/>
              <v:path gradientshapeok="t" o:connecttype="rect"/>
            </v:shapetype>
            <v:shape id="Text Box 2" o:spid="_x0000_s1026" type="#_x0000_t202" alt="À l’usage ordinaire de l’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5223" w14:textId="311AC12A" w:rsidR="00B80E57" w:rsidRDefault="00B80E57">
    <w:pPr>
      <w:pStyle w:val="Header"/>
    </w:pPr>
    <w:r>
      <w:rPr>
        <w:noProof/>
      </w:rPr>
      <mc:AlternateContent>
        <mc:Choice Requires="wps">
          <w:drawing>
            <wp:anchor distT="0" distB="0" distL="0" distR="0" simplePos="0" relativeHeight="251660288" behindDoc="0" locked="0" layoutInCell="1" allowOverlap="1" wp14:anchorId="6A713163" wp14:editId="05937118">
              <wp:simplePos x="914400" y="447675"/>
              <wp:positionH relativeFrom="page">
                <wp:align>left</wp:align>
              </wp:positionH>
              <wp:positionV relativeFrom="page">
                <wp:align>top</wp:align>
              </wp:positionV>
              <wp:extent cx="1273175" cy="376555"/>
              <wp:effectExtent l="0" t="0" r="3175" b="4445"/>
              <wp:wrapNone/>
              <wp:docPr id="451469576"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D2830DF" w14:textId="79E7B8D2" w:rsidR="00B80E57" w:rsidRPr="00B80E57" w:rsidRDefault="00B80E57" w:rsidP="00B80E57">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713163" id="_x0000_t202" coordsize="21600,21600" o:spt="202" path="m,l,21600r21600,l21600,xe">
              <v:stroke joinstyle="miter"/>
              <v:path gradientshapeok="t" o:connecttype="rect"/>
            </v:shapetype>
            <v:shape id="Text Box 3" o:spid="_x0000_s1027" type="#_x0000_t202" alt="À l’usage ordinaire de l’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2D2830DF" w14:textId="79E7B8D2" w:rsidR="00B80E57" w:rsidRPr="00B80E57" w:rsidRDefault="00B80E57" w:rsidP="00B80E57">
                    <w:pPr>
                      <w:rPr>
                        <w:rFonts w:ascii="Calibri" w:eastAsia="Calibri" w:hAnsi="Calibri" w:cs="Calibri"/>
                        <w:noProof/>
                        <w:color w:val="000000"/>
                        <w:sz w:val="24"/>
                      </w:rPr>
                    </w:pPr>
                    <w:r>
                      <w:rPr>
                        <w:rFonts w:ascii="Calibri" w:hAnsi="Calibri"/>
                        <w:color w:val="000000"/>
                        <w:sz w:val="24"/>
                      </w:rPr>
                      <w:t>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B230" w14:textId="56076649" w:rsidR="00B80E57" w:rsidRDefault="00B80E57">
    <w:pPr>
      <w:pStyle w:val="Header"/>
    </w:pPr>
    <w:r>
      <w:rPr>
        <w:noProof/>
      </w:rPr>
      <mc:AlternateContent>
        <mc:Choice Requires="wps">
          <w:drawing>
            <wp:anchor distT="0" distB="0" distL="0" distR="0" simplePos="0" relativeHeight="251658240" behindDoc="0" locked="0" layoutInCell="1" allowOverlap="1" wp14:anchorId="74EBD702" wp14:editId="28C21A76">
              <wp:simplePos x="635" y="635"/>
              <wp:positionH relativeFrom="page">
                <wp:align>left</wp:align>
              </wp:positionH>
              <wp:positionV relativeFrom="page">
                <wp:align>top</wp:align>
              </wp:positionV>
              <wp:extent cx="1273175" cy="376555"/>
              <wp:effectExtent l="0" t="0" r="3175" b="4445"/>
              <wp:wrapNone/>
              <wp:docPr id="898049557"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4EBD702" id="_x0000_t202" coordsize="21600,21600" o:spt="202" path="m,l,21600r21600,l21600,xe">
              <v:stroke joinstyle="miter"/>
              <v:path gradientshapeok="t" o:connecttype="rect"/>
            </v:shapetype>
            <v:shape id="Text Box 1" o:spid="_x0000_s1028" type="#_x0000_t202" alt="À l’usage ordinaire de l’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641234">
    <w:abstractNumId w:val="0"/>
  </w:num>
  <w:num w:numId="2" w16cid:durableId="2049378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B1793"/>
    <w:rsid w:val="002D310D"/>
    <w:rsid w:val="00383B86"/>
    <w:rsid w:val="00455D0D"/>
    <w:rsid w:val="004E3F4D"/>
    <w:rsid w:val="0079468D"/>
    <w:rsid w:val="008B1793"/>
    <w:rsid w:val="00B80E57"/>
    <w:rsid w:val="00DE3B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EAB9"/>
  <w15:chartTrackingRefBased/>
  <w15:docId w15:val="{39071AB2-44A9-4C0E-9939-9ACAB36C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D0D"/>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455D0D"/>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55D0D"/>
    <w:rPr>
      <w:rFonts w:eastAsiaTheme="minorEastAsia"/>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55D0D"/>
    <w:rPr>
      <w:rFonts w:asciiTheme="minorHAnsi" w:hAnsiTheme="minorHAnsi"/>
      <w:sz w:val="22"/>
      <w:szCs w:val="18"/>
      <w:vertAlign w:val="superscript"/>
    </w:rPr>
  </w:style>
  <w:style w:type="character" w:styleId="Hyperlink">
    <w:name w:val="Hyperlink"/>
    <w:basedOn w:val="DefaultParagraphFont"/>
    <w:uiPriority w:val="99"/>
    <w:rsid w:val="00455D0D"/>
    <w:rPr>
      <w:color w:val="0563C1" w:themeColor="hyperlink"/>
      <w:u w:val="single"/>
    </w:rPr>
  </w:style>
  <w:style w:type="paragraph" w:customStyle="1" w:styleId="Annexetitre">
    <w:name w:val="Annexe titre"/>
    <w:basedOn w:val="Normal"/>
    <w:next w:val="Normal"/>
    <w:rsid w:val="00455D0D"/>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55D0D"/>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55D0D"/>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455D0D"/>
    <w:pPr>
      <w:ind w:left="720"/>
    </w:pPr>
    <w:rPr>
      <w:rFonts w:ascii="Calibri" w:eastAsia="Calibri" w:hAnsi="Calibri" w:cs="Times New Roman"/>
      <w:szCs w:val="22"/>
    </w:rPr>
  </w:style>
  <w:style w:type="paragraph" w:styleId="Header">
    <w:name w:val="header"/>
    <w:basedOn w:val="Normal"/>
    <w:link w:val="HeaderChar"/>
    <w:uiPriority w:val="99"/>
    <w:unhideWhenUsed/>
    <w:rsid w:val="00455D0D"/>
    <w:pPr>
      <w:tabs>
        <w:tab w:val="center" w:pos="4513"/>
        <w:tab w:val="right" w:pos="9026"/>
      </w:tabs>
    </w:pPr>
  </w:style>
  <w:style w:type="character" w:customStyle="1" w:styleId="HeaderChar">
    <w:name w:val="Header Char"/>
    <w:basedOn w:val="DefaultParagraphFont"/>
    <w:link w:val="Header"/>
    <w:uiPriority w:val="99"/>
    <w:rsid w:val="00455D0D"/>
    <w:rPr>
      <w:rFonts w:eastAsiaTheme="minorEastAsia"/>
      <w:szCs w:val="24"/>
    </w:rPr>
  </w:style>
  <w:style w:type="paragraph" w:styleId="Footer">
    <w:name w:val="footer"/>
    <w:basedOn w:val="Normal"/>
    <w:link w:val="FooterChar"/>
    <w:uiPriority w:val="99"/>
    <w:unhideWhenUsed/>
    <w:rsid w:val="00455D0D"/>
    <w:pPr>
      <w:tabs>
        <w:tab w:val="center" w:pos="4513"/>
        <w:tab w:val="right" w:pos="9026"/>
      </w:tabs>
    </w:pPr>
  </w:style>
  <w:style w:type="character" w:customStyle="1" w:styleId="FooterChar">
    <w:name w:val="Footer Char"/>
    <w:basedOn w:val="DefaultParagraphFont"/>
    <w:link w:val="Footer"/>
    <w:uiPriority w:val="99"/>
    <w:rsid w:val="00455D0D"/>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R/TXT/?uri=OJ:L_202401623" TargetMode="External"/><Relationship Id="rId1" Type="http://schemas.openxmlformats.org/officeDocument/2006/relationships/hyperlink" Target="https://eur-lex.europa.eu/legal-content/FR/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AEAB03-B0BD-4639-903E-E6CB4EADB903}"/>
</file>

<file path=customXml/itemProps2.xml><?xml version="1.0" encoding="utf-8"?>
<ds:datastoreItem xmlns:ds="http://schemas.openxmlformats.org/officeDocument/2006/customXml" ds:itemID="{2EB3C1C1-52B9-4389-B50D-4E8F0F3BC49F}"/>
</file>

<file path=customXml/itemProps3.xml><?xml version="1.0" encoding="utf-8"?>
<ds:datastoreItem xmlns:ds="http://schemas.openxmlformats.org/officeDocument/2006/customXml" ds:itemID="{3DE1EA9C-18FF-4F17-A1BC-EBDC866AD42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7</TotalTime>
  <Pages>6</Pages>
  <Words>1983</Words>
  <Characters>10570</Characters>
  <Application>Microsoft Office Word</Application>
  <DocSecurity>0</DocSecurity>
  <Lines>245</Lines>
  <Paragraphs>141</Paragraphs>
  <ScaleCrop>false</ScaleCrop>
  <Company>European Banking Authority</Company>
  <LinksUpToDate>false</LinksUpToDate>
  <CharactersWithSpaces>12412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DE BOECK Alicia (DGT)</cp:lastModifiedBy>
  <cp:revision>5</cp:revision>
  <dcterms:created xsi:type="dcterms:W3CDTF">2021-03-11T11:56:00Z</dcterms:created>
  <dcterms:modified xsi:type="dcterms:W3CDTF">2024-10-18T06:51:00Z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35872615,124eb938,1ae8e108</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2024-09-26T14:43:39Z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5a99a6ec-7d0f-4ccb-8b43-056eaab9821e</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